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18" w:rsidRDefault="00C66B37" w:rsidP="00FE5218">
      <w:pPr>
        <w:pStyle w:val="PlainText"/>
        <w:jc w:val="center"/>
        <w:rPr>
          <w:b/>
          <w:sz w:val="40"/>
          <w:szCs w:val="40"/>
          <w:u w:val="single"/>
        </w:rPr>
      </w:pPr>
      <w:r>
        <w:rPr>
          <w:b/>
          <w:sz w:val="40"/>
          <w:szCs w:val="40"/>
          <w:u w:val="single"/>
        </w:rPr>
        <w:t>Important Information R</w:t>
      </w:r>
      <w:r w:rsidR="00FE5218" w:rsidRPr="00FE5218">
        <w:rPr>
          <w:b/>
          <w:sz w:val="40"/>
          <w:szCs w:val="40"/>
          <w:u w:val="single"/>
        </w:rPr>
        <w:t>egarding Health Insurance:</w:t>
      </w:r>
    </w:p>
    <w:p w:rsidR="00FE5218" w:rsidRPr="00FE5218" w:rsidRDefault="00FE5218" w:rsidP="00FE5218">
      <w:pPr>
        <w:pStyle w:val="PlainText"/>
        <w:jc w:val="center"/>
        <w:rPr>
          <w:b/>
          <w:sz w:val="40"/>
          <w:szCs w:val="40"/>
          <w:u w:val="single"/>
        </w:rPr>
      </w:pPr>
    </w:p>
    <w:p w:rsidR="00FE5218" w:rsidRPr="00FE5218" w:rsidRDefault="00C66B37" w:rsidP="00FE5218">
      <w:pPr>
        <w:pStyle w:val="PlainText"/>
        <w:rPr>
          <w:sz w:val="28"/>
          <w:szCs w:val="28"/>
        </w:rPr>
      </w:pPr>
      <w:r>
        <w:rPr>
          <w:sz w:val="28"/>
          <w:szCs w:val="28"/>
        </w:rPr>
        <w:t xml:space="preserve">M&amp;M Cartage offers a </w:t>
      </w:r>
      <w:r w:rsidR="00FE5218" w:rsidRPr="00FE5218">
        <w:rPr>
          <w:sz w:val="28"/>
          <w:szCs w:val="28"/>
        </w:rPr>
        <w:t>4-tier premium structure, which means instead of a standard premium for the coverage you selected, you will have the opportunity to qualify for four different pricing tiers. Where you fall on the tier will depend on a points system. If you complete a biometric screening and health risk assessment (M&amp;M offers this yearly), you will receive points based on where you fall on the range for BMI, tobacco usage, cholesterol, glucose, etc. Please see the chart below for an example.</w:t>
      </w:r>
      <w:r>
        <w:rPr>
          <w:sz w:val="28"/>
          <w:szCs w:val="28"/>
        </w:rPr>
        <w:t xml:space="preserve"> Participating in educational programs will also earn you points.</w:t>
      </w:r>
    </w:p>
    <w:p w:rsidR="00FE5218" w:rsidRPr="00FE5218" w:rsidRDefault="00FE5218" w:rsidP="00FE5218">
      <w:pPr>
        <w:pStyle w:val="PlainText"/>
        <w:rPr>
          <w:sz w:val="28"/>
          <w:szCs w:val="28"/>
        </w:rPr>
      </w:pPr>
    </w:p>
    <w:p w:rsidR="00FE5218" w:rsidRDefault="00FE5218" w:rsidP="00FE5218">
      <w:pPr>
        <w:pStyle w:val="PlainText"/>
        <w:rPr>
          <w:sz w:val="28"/>
          <w:szCs w:val="28"/>
          <w:u w:val="single"/>
        </w:rPr>
      </w:pPr>
      <w:r w:rsidRPr="00FE5218">
        <w:rPr>
          <w:sz w:val="28"/>
          <w:szCs w:val="28"/>
        </w:rPr>
        <w:t xml:space="preserve">The information from your health risk assessment and the results from your biometric screening will be used to provide you with information to help you understand your current health and potential risks. </w:t>
      </w:r>
      <w:r w:rsidRPr="00FE5218">
        <w:rPr>
          <w:sz w:val="28"/>
          <w:szCs w:val="28"/>
          <w:u w:val="single"/>
        </w:rPr>
        <w:t xml:space="preserve">M&amp;M will not see your results from your biometric screening and health risk assessment. This is all handled by a third party company, </w:t>
      </w:r>
      <w:proofErr w:type="spellStart"/>
      <w:r w:rsidRPr="00FE5218">
        <w:rPr>
          <w:sz w:val="28"/>
          <w:szCs w:val="28"/>
          <w:u w:val="single"/>
        </w:rPr>
        <w:t>Healthsync</w:t>
      </w:r>
      <w:proofErr w:type="spellEnd"/>
      <w:r w:rsidRPr="00FE5218">
        <w:rPr>
          <w:sz w:val="28"/>
          <w:szCs w:val="28"/>
          <w:u w:val="single"/>
        </w:rPr>
        <w:t xml:space="preserve">, who has been completing these </w:t>
      </w:r>
      <w:r w:rsidR="005B629E">
        <w:rPr>
          <w:sz w:val="28"/>
          <w:szCs w:val="28"/>
          <w:u w:val="single"/>
        </w:rPr>
        <w:t xml:space="preserve">screenings for us for </w:t>
      </w:r>
      <w:r w:rsidRPr="00FE5218">
        <w:rPr>
          <w:sz w:val="28"/>
          <w:szCs w:val="28"/>
          <w:u w:val="single"/>
        </w:rPr>
        <w:t>years.</w:t>
      </w:r>
    </w:p>
    <w:p w:rsidR="00FE5218" w:rsidRPr="00FE5218" w:rsidRDefault="00FE5218" w:rsidP="00FE5218">
      <w:pPr>
        <w:pStyle w:val="PlainText"/>
        <w:rPr>
          <w:sz w:val="28"/>
          <w:szCs w:val="28"/>
          <w:u w:val="single"/>
        </w:rPr>
      </w:pPr>
    </w:p>
    <w:p w:rsidR="00FE5218" w:rsidRPr="00FE5218" w:rsidRDefault="00FE5218" w:rsidP="00FE5218">
      <w:pPr>
        <w:tabs>
          <w:tab w:val="left" w:pos="830"/>
        </w:tabs>
        <w:spacing w:before="117"/>
        <w:ind w:left="109" w:right="101"/>
        <w:rPr>
          <w:b/>
          <w:sz w:val="22"/>
          <w:szCs w:val="22"/>
        </w:rPr>
      </w:pPr>
      <w:r w:rsidRPr="00FE5218">
        <w:rPr>
          <w:b/>
          <w:sz w:val="22"/>
          <w:szCs w:val="22"/>
        </w:rPr>
        <w:t>Tier</w:t>
      </w:r>
      <w:r w:rsidRPr="00FE5218">
        <w:rPr>
          <w:b/>
          <w:spacing w:val="-1"/>
          <w:sz w:val="22"/>
          <w:szCs w:val="22"/>
        </w:rPr>
        <w:t xml:space="preserve"> </w:t>
      </w:r>
      <w:r w:rsidRPr="00FE5218">
        <w:rPr>
          <w:b/>
          <w:sz w:val="22"/>
          <w:szCs w:val="22"/>
        </w:rPr>
        <w:t>1:</w:t>
      </w:r>
      <w:r w:rsidRPr="00FE5218">
        <w:rPr>
          <w:b/>
          <w:sz w:val="22"/>
          <w:szCs w:val="22"/>
        </w:rPr>
        <w:tab/>
        <w:t>500-600</w:t>
      </w:r>
      <w:r w:rsidRPr="00FE5218">
        <w:rPr>
          <w:sz w:val="22"/>
          <w:szCs w:val="22"/>
        </w:rPr>
        <w:t xml:space="preserve">   </w:t>
      </w:r>
      <w:r w:rsidRPr="00FE5218">
        <w:rPr>
          <w:sz w:val="22"/>
          <w:szCs w:val="22"/>
        </w:rPr>
        <w:tab/>
      </w:r>
      <w:r w:rsidRPr="00FE5218">
        <w:rPr>
          <w:b/>
          <w:sz w:val="22"/>
          <w:szCs w:val="22"/>
        </w:rPr>
        <w:t>Tier 2:    300-499</w:t>
      </w:r>
      <w:r w:rsidRPr="00FE5218">
        <w:rPr>
          <w:sz w:val="22"/>
          <w:szCs w:val="22"/>
        </w:rPr>
        <w:t xml:space="preserve">   </w:t>
      </w:r>
      <w:r w:rsidRPr="00FE5218">
        <w:rPr>
          <w:sz w:val="22"/>
          <w:szCs w:val="22"/>
        </w:rPr>
        <w:tab/>
      </w:r>
      <w:r w:rsidRPr="00FE5218">
        <w:rPr>
          <w:b/>
          <w:sz w:val="22"/>
          <w:szCs w:val="22"/>
        </w:rPr>
        <w:t xml:space="preserve">Tier 3:  </w:t>
      </w:r>
      <w:r w:rsidRPr="00FE5218">
        <w:rPr>
          <w:b/>
          <w:spacing w:val="22"/>
          <w:sz w:val="22"/>
          <w:szCs w:val="22"/>
        </w:rPr>
        <w:t xml:space="preserve"> 1</w:t>
      </w:r>
      <w:r w:rsidRPr="00FE5218">
        <w:rPr>
          <w:b/>
          <w:sz w:val="22"/>
          <w:szCs w:val="22"/>
        </w:rPr>
        <w:t>-299</w:t>
      </w:r>
      <w:proofErr w:type="gramStart"/>
      <w:r w:rsidRPr="00FE5218">
        <w:rPr>
          <w:sz w:val="22"/>
          <w:szCs w:val="22"/>
        </w:rPr>
        <w:tab/>
      </w:r>
      <w:r w:rsidRPr="00FE5218">
        <w:rPr>
          <w:sz w:val="22"/>
          <w:szCs w:val="22"/>
        </w:rPr>
        <w:tab/>
      </w:r>
      <w:r w:rsidRPr="00FE5218">
        <w:rPr>
          <w:b/>
          <w:sz w:val="22"/>
          <w:szCs w:val="22"/>
        </w:rPr>
        <w:t>Tier</w:t>
      </w:r>
      <w:proofErr w:type="gramEnd"/>
      <w:r w:rsidRPr="00FE5218">
        <w:rPr>
          <w:b/>
          <w:sz w:val="22"/>
          <w:szCs w:val="22"/>
        </w:rPr>
        <w:t xml:space="preserve"> 4:  Non-Wellness Participants</w:t>
      </w:r>
    </w:p>
    <w:p w:rsidR="00FE5218" w:rsidRPr="002619CA" w:rsidRDefault="00FE5218" w:rsidP="00FE5218">
      <w:pPr>
        <w:tabs>
          <w:tab w:val="left" w:pos="830"/>
        </w:tabs>
        <w:spacing w:before="117"/>
        <w:ind w:left="109" w:right="101"/>
        <w:rPr>
          <w:b/>
          <w:sz w:val="22"/>
          <w:szCs w:val="22"/>
        </w:rPr>
      </w:pPr>
    </w:p>
    <w:p w:rsidR="00FE5218" w:rsidRPr="00FE5218" w:rsidRDefault="00FE5218" w:rsidP="00FE5218">
      <w:pPr>
        <w:pStyle w:val="BodyText"/>
        <w:spacing w:before="169"/>
        <w:ind w:right="101"/>
        <w:rPr>
          <w:sz w:val="28"/>
          <w:szCs w:val="28"/>
        </w:rPr>
      </w:pPr>
      <w:r w:rsidRPr="00FE5218">
        <w:rPr>
          <w:sz w:val="28"/>
          <w:szCs w:val="28"/>
        </w:rPr>
        <w:t xml:space="preserve">Below is a complete listing of how points can be earned </w:t>
      </w:r>
      <w:r w:rsidR="00C66B37">
        <w:rPr>
          <w:sz w:val="28"/>
          <w:szCs w:val="28"/>
        </w:rPr>
        <w:t>yearly.</w:t>
      </w:r>
    </w:p>
    <w:p w:rsidR="00FE5218" w:rsidRDefault="00FE5218" w:rsidP="00FE5218">
      <w:pPr>
        <w:pStyle w:val="BodyText"/>
        <w:spacing w:before="11"/>
        <w:rPr>
          <w:sz w:val="16"/>
          <w:szCs w:val="22"/>
        </w:rPr>
      </w:pPr>
    </w:p>
    <w:tbl>
      <w:tblPr>
        <w:tblW w:w="0" w:type="auto"/>
        <w:tblInd w:w="2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8"/>
        <w:gridCol w:w="2433"/>
        <w:gridCol w:w="1064"/>
      </w:tblGrid>
      <w:tr w:rsidR="00FE5218" w:rsidRPr="002619CA" w:rsidTr="00522BFF">
        <w:trPr>
          <w:trHeight w:hRule="exact" w:val="300"/>
        </w:trPr>
        <w:tc>
          <w:tcPr>
            <w:tcW w:w="2298" w:type="dxa"/>
            <w:tcBorders>
              <w:top w:val="single" w:sz="6" w:space="0" w:color="000000"/>
              <w:left w:val="single" w:sz="6" w:space="0" w:color="000000"/>
              <w:bottom w:val="single" w:sz="8" w:space="0" w:color="000000"/>
              <w:right w:val="single" w:sz="8" w:space="0" w:color="000000"/>
            </w:tcBorders>
            <w:shd w:val="clear" w:color="auto" w:fill="006FC0"/>
            <w:hideMark/>
          </w:tcPr>
          <w:p w:rsidR="00FE5218" w:rsidRDefault="00FE5218" w:rsidP="00522BFF">
            <w:pPr>
              <w:pStyle w:val="TableParagraph"/>
              <w:spacing w:before="27"/>
              <w:ind w:left="136" w:right="143"/>
            </w:pPr>
            <w:r>
              <w:rPr>
                <w:color w:val="FFFFFF"/>
              </w:rPr>
              <w:t>Measure</w:t>
            </w:r>
          </w:p>
        </w:tc>
        <w:tc>
          <w:tcPr>
            <w:tcW w:w="2433" w:type="dxa"/>
            <w:tcBorders>
              <w:top w:val="single" w:sz="6" w:space="0" w:color="000000"/>
              <w:left w:val="single" w:sz="8" w:space="0" w:color="000000"/>
              <w:bottom w:val="single" w:sz="8" w:space="0" w:color="000000"/>
              <w:right w:val="single" w:sz="8" w:space="0" w:color="000000"/>
            </w:tcBorders>
            <w:shd w:val="clear" w:color="auto" w:fill="006FC0"/>
            <w:hideMark/>
          </w:tcPr>
          <w:p w:rsidR="00FE5218" w:rsidRDefault="00FE5218" w:rsidP="00522BFF">
            <w:pPr>
              <w:pStyle w:val="TableParagraph"/>
              <w:spacing w:before="27"/>
              <w:ind w:left="266" w:right="270"/>
            </w:pPr>
            <w:r>
              <w:rPr>
                <w:color w:val="FFFFFF"/>
              </w:rPr>
              <w:t>Range</w:t>
            </w:r>
          </w:p>
        </w:tc>
        <w:tc>
          <w:tcPr>
            <w:tcW w:w="1064" w:type="dxa"/>
            <w:tcBorders>
              <w:top w:val="single" w:sz="6" w:space="0" w:color="000000"/>
              <w:left w:val="single" w:sz="8" w:space="0" w:color="000000"/>
              <w:bottom w:val="single" w:sz="8" w:space="0" w:color="000000"/>
              <w:right w:val="single" w:sz="6" w:space="0" w:color="000000"/>
            </w:tcBorders>
            <w:shd w:val="clear" w:color="auto" w:fill="006FC0"/>
            <w:hideMark/>
          </w:tcPr>
          <w:p w:rsidR="00FE5218" w:rsidRDefault="00FE5218" w:rsidP="00522BFF">
            <w:pPr>
              <w:pStyle w:val="TableParagraph"/>
              <w:spacing w:before="27"/>
              <w:ind w:left="38" w:right="36"/>
            </w:pPr>
            <w:r>
              <w:rPr>
                <w:color w:val="FFFFFF"/>
              </w:rPr>
              <w:t>Point Value</w:t>
            </w:r>
          </w:p>
        </w:tc>
      </w:tr>
      <w:tr w:rsidR="00FE5218" w:rsidRPr="002619CA" w:rsidTr="00522BFF">
        <w:trPr>
          <w:trHeight w:hRule="exact" w:val="517"/>
        </w:trPr>
        <w:tc>
          <w:tcPr>
            <w:tcW w:w="2298" w:type="dxa"/>
            <w:tcBorders>
              <w:top w:val="single" w:sz="8" w:space="0" w:color="000000"/>
              <w:left w:val="single" w:sz="6" w:space="0" w:color="000000"/>
              <w:bottom w:val="single" w:sz="8" w:space="0" w:color="000000"/>
              <w:right w:val="single" w:sz="8" w:space="0" w:color="000000"/>
            </w:tcBorders>
          </w:tcPr>
          <w:p w:rsidR="00FE5218" w:rsidRDefault="00FE5218" w:rsidP="00522BFF">
            <w:pPr>
              <w:pStyle w:val="TableParagraph"/>
            </w:pPr>
          </w:p>
          <w:p w:rsidR="00FE5218" w:rsidRDefault="00FE5218" w:rsidP="00522BFF">
            <w:pPr>
              <w:pStyle w:val="TableParagraph"/>
            </w:pPr>
            <w:r>
              <w:t>Online HRA</w:t>
            </w:r>
          </w:p>
          <w:p w:rsidR="00FE5218" w:rsidRDefault="00FE5218" w:rsidP="00522BFF">
            <w:pPr>
              <w:pStyle w:val="TableParagraph"/>
              <w:spacing w:before="168"/>
              <w:ind w:left="136" w:right="237"/>
            </w:pPr>
          </w:p>
          <w:p w:rsidR="00FE5218" w:rsidRDefault="00FE5218" w:rsidP="00522BFF">
            <w:pPr>
              <w:pStyle w:val="TableParagraph"/>
              <w:spacing w:before="168"/>
              <w:ind w:left="136" w:right="237"/>
            </w:pPr>
          </w:p>
        </w:tc>
        <w:tc>
          <w:tcPr>
            <w:tcW w:w="2433" w:type="dxa"/>
            <w:tcBorders>
              <w:top w:val="single" w:sz="8" w:space="0" w:color="000000"/>
              <w:left w:val="single" w:sz="8" w:space="0" w:color="000000"/>
              <w:bottom w:val="single" w:sz="8" w:space="0" w:color="000000"/>
              <w:right w:val="single" w:sz="8" w:space="0" w:color="000000"/>
            </w:tcBorders>
          </w:tcPr>
          <w:p w:rsidR="00FE5218" w:rsidRDefault="00FE5218" w:rsidP="00522BFF">
            <w:pPr>
              <w:pStyle w:val="TableParagraph"/>
              <w:spacing w:before="133"/>
              <w:ind w:left="176" w:right="270"/>
            </w:pPr>
            <w:r>
              <w:t>Completed</w:t>
            </w:r>
          </w:p>
          <w:p w:rsidR="00FE5218" w:rsidRDefault="00FE5218" w:rsidP="00522BFF">
            <w:pPr>
              <w:pStyle w:val="TableParagraph"/>
              <w:spacing w:before="133"/>
              <w:ind w:left="176" w:right="270"/>
            </w:pPr>
          </w:p>
          <w:p w:rsidR="00FE5218" w:rsidRDefault="00FE5218" w:rsidP="00522BFF">
            <w:pPr>
              <w:pStyle w:val="TableParagraph"/>
              <w:spacing w:before="48" w:line="526" w:lineRule="exact"/>
              <w:ind w:left="192" w:right="199" w:hanging="2"/>
            </w:pPr>
          </w:p>
        </w:tc>
        <w:tc>
          <w:tcPr>
            <w:tcW w:w="1064" w:type="dxa"/>
            <w:tcBorders>
              <w:top w:val="single" w:sz="8" w:space="0" w:color="000000"/>
              <w:left w:val="single" w:sz="8" w:space="0" w:color="000000"/>
              <w:bottom w:val="single" w:sz="8" w:space="0" w:color="000000"/>
              <w:right w:val="single" w:sz="6" w:space="0" w:color="000000"/>
            </w:tcBorders>
          </w:tcPr>
          <w:p w:rsidR="00FE5218" w:rsidRDefault="00FE5218" w:rsidP="00522BFF">
            <w:pPr>
              <w:pStyle w:val="TableParagraph"/>
              <w:spacing w:before="133"/>
              <w:ind w:left="38" w:right="36"/>
            </w:pPr>
            <w:r>
              <w:t>25</w:t>
            </w:r>
          </w:p>
          <w:p w:rsidR="00FE5218" w:rsidRDefault="00FE5218" w:rsidP="00522BFF">
            <w:pPr>
              <w:pStyle w:val="TableParagraph"/>
              <w:spacing w:before="133"/>
              <w:ind w:left="38" w:right="36"/>
            </w:pPr>
          </w:p>
          <w:p w:rsidR="00FE5218" w:rsidRDefault="00FE5218" w:rsidP="00522BFF">
            <w:pPr>
              <w:pStyle w:val="TableParagraph"/>
              <w:jc w:val="left"/>
            </w:pPr>
          </w:p>
          <w:p w:rsidR="00FE5218" w:rsidRDefault="00FE5218" w:rsidP="00522BFF">
            <w:pPr>
              <w:pStyle w:val="TableParagraph"/>
              <w:jc w:val="left"/>
            </w:pPr>
          </w:p>
          <w:p w:rsidR="00FE5218" w:rsidRDefault="00FE5218" w:rsidP="00522BFF">
            <w:pPr>
              <w:pStyle w:val="TableParagraph"/>
              <w:spacing w:before="11"/>
              <w:jc w:val="left"/>
            </w:pPr>
          </w:p>
          <w:p w:rsidR="00FE5218" w:rsidRDefault="00FE5218" w:rsidP="00522BFF">
            <w:pPr>
              <w:pStyle w:val="TableParagraph"/>
              <w:ind w:left="38" w:right="36"/>
            </w:pPr>
          </w:p>
        </w:tc>
      </w:tr>
      <w:tr w:rsidR="00FE5218" w:rsidRPr="002619CA" w:rsidTr="00522BFF">
        <w:trPr>
          <w:trHeight w:hRule="exact" w:val="535"/>
        </w:trPr>
        <w:tc>
          <w:tcPr>
            <w:tcW w:w="2298" w:type="dxa"/>
            <w:tcBorders>
              <w:top w:val="single" w:sz="8" w:space="0" w:color="000000"/>
              <w:left w:val="single" w:sz="6" w:space="0" w:color="000000"/>
              <w:bottom w:val="single" w:sz="8" w:space="0" w:color="000000"/>
              <w:right w:val="single" w:sz="8" w:space="0" w:color="000000"/>
            </w:tcBorders>
          </w:tcPr>
          <w:p w:rsidR="00FE5218" w:rsidRDefault="00FE5218" w:rsidP="00522BFF">
            <w:pPr>
              <w:pStyle w:val="TableParagraph"/>
            </w:pPr>
          </w:p>
          <w:p w:rsidR="00FE5218" w:rsidRDefault="00FE5218" w:rsidP="00522BFF">
            <w:pPr>
              <w:pStyle w:val="TableParagraph"/>
            </w:pPr>
            <w:r>
              <w:t>Body Mass Index (BMI)</w:t>
            </w:r>
          </w:p>
        </w:tc>
        <w:tc>
          <w:tcPr>
            <w:tcW w:w="2433" w:type="dxa"/>
            <w:tcBorders>
              <w:top w:val="single" w:sz="8" w:space="0" w:color="000000"/>
              <w:left w:val="single" w:sz="8" w:space="0" w:color="000000"/>
              <w:bottom w:val="single" w:sz="8" w:space="0" w:color="000000"/>
              <w:right w:val="single" w:sz="8" w:space="0" w:color="000000"/>
            </w:tcBorders>
            <w:hideMark/>
          </w:tcPr>
          <w:p w:rsidR="00FE5218" w:rsidRDefault="00FE5218" w:rsidP="00522BFF">
            <w:pPr>
              <w:pStyle w:val="TableParagraph"/>
              <w:spacing w:before="133"/>
              <w:ind w:left="176" w:right="270"/>
            </w:pPr>
            <w:r>
              <w:t>BMI &lt; 30</w:t>
            </w:r>
          </w:p>
        </w:tc>
        <w:tc>
          <w:tcPr>
            <w:tcW w:w="1064" w:type="dxa"/>
            <w:tcBorders>
              <w:top w:val="single" w:sz="8" w:space="0" w:color="000000"/>
              <w:left w:val="single" w:sz="8" w:space="0" w:color="000000"/>
              <w:bottom w:val="single" w:sz="8" w:space="0" w:color="000000"/>
              <w:right w:val="single" w:sz="6" w:space="0" w:color="000000"/>
            </w:tcBorders>
            <w:hideMark/>
          </w:tcPr>
          <w:p w:rsidR="00FE5218" w:rsidRDefault="00FE5218" w:rsidP="00522BFF">
            <w:pPr>
              <w:pStyle w:val="TableParagraph"/>
              <w:spacing w:before="133"/>
              <w:ind w:left="38" w:right="36"/>
            </w:pPr>
            <w:r>
              <w:t>25</w:t>
            </w:r>
          </w:p>
        </w:tc>
      </w:tr>
      <w:tr w:rsidR="00FE5218" w:rsidRPr="002619CA" w:rsidTr="00522BFF">
        <w:trPr>
          <w:trHeight w:hRule="exact" w:val="445"/>
        </w:trPr>
        <w:tc>
          <w:tcPr>
            <w:tcW w:w="2298" w:type="dxa"/>
            <w:tcBorders>
              <w:top w:val="single" w:sz="8" w:space="0" w:color="000000"/>
              <w:left w:val="single" w:sz="6" w:space="0" w:color="000000"/>
              <w:bottom w:val="single" w:sz="8" w:space="0" w:color="000000"/>
              <w:right w:val="single" w:sz="8" w:space="0" w:color="000000"/>
            </w:tcBorders>
            <w:hideMark/>
          </w:tcPr>
          <w:p w:rsidR="00FE5218" w:rsidRDefault="00FE5218" w:rsidP="00522BFF">
            <w:pPr>
              <w:pStyle w:val="TableParagraph"/>
              <w:spacing w:before="127"/>
              <w:ind w:left="136" w:right="145"/>
            </w:pPr>
            <w:r>
              <w:t>Tobacco Usage</w:t>
            </w:r>
          </w:p>
        </w:tc>
        <w:tc>
          <w:tcPr>
            <w:tcW w:w="2433" w:type="dxa"/>
            <w:tcBorders>
              <w:top w:val="single" w:sz="8" w:space="0" w:color="000000"/>
              <w:left w:val="single" w:sz="8" w:space="0" w:color="000000"/>
              <w:bottom w:val="single" w:sz="8" w:space="0" w:color="000000"/>
              <w:right w:val="single" w:sz="8" w:space="0" w:color="000000"/>
            </w:tcBorders>
            <w:hideMark/>
          </w:tcPr>
          <w:p w:rsidR="00FE5218" w:rsidRDefault="00FE5218" w:rsidP="00522BFF">
            <w:pPr>
              <w:pStyle w:val="TableParagraph"/>
              <w:spacing w:before="127"/>
              <w:ind w:left="265" w:right="270"/>
            </w:pPr>
            <w:r>
              <w:t>Non-user</w:t>
            </w:r>
          </w:p>
        </w:tc>
        <w:tc>
          <w:tcPr>
            <w:tcW w:w="1064" w:type="dxa"/>
            <w:tcBorders>
              <w:top w:val="single" w:sz="8" w:space="0" w:color="000000"/>
              <w:left w:val="single" w:sz="8" w:space="0" w:color="000000"/>
              <w:bottom w:val="single" w:sz="8" w:space="0" w:color="000000"/>
              <w:right w:val="single" w:sz="6" w:space="0" w:color="000000"/>
            </w:tcBorders>
            <w:hideMark/>
          </w:tcPr>
          <w:p w:rsidR="00FE5218" w:rsidRDefault="00FE5218" w:rsidP="00522BFF">
            <w:pPr>
              <w:pStyle w:val="TableParagraph"/>
              <w:spacing w:before="127"/>
              <w:ind w:left="36" w:right="36"/>
            </w:pPr>
            <w:r>
              <w:t>125</w:t>
            </w:r>
          </w:p>
        </w:tc>
      </w:tr>
      <w:tr w:rsidR="00FE5218" w:rsidRPr="002619CA" w:rsidTr="00522BFF">
        <w:trPr>
          <w:trHeight w:hRule="exact" w:val="364"/>
        </w:trPr>
        <w:tc>
          <w:tcPr>
            <w:tcW w:w="2298" w:type="dxa"/>
            <w:vMerge w:val="restart"/>
            <w:tcBorders>
              <w:top w:val="single" w:sz="8" w:space="0" w:color="000000"/>
              <w:left w:val="single" w:sz="6" w:space="0" w:color="000000"/>
              <w:bottom w:val="single" w:sz="8" w:space="0" w:color="000000"/>
              <w:right w:val="single" w:sz="8" w:space="0" w:color="000000"/>
            </w:tcBorders>
          </w:tcPr>
          <w:p w:rsidR="00FE5218" w:rsidRDefault="00FE5218" w:rsidP="00522BFF">
            <w:pPr>
              <w:pStyle w:val="TableParagraph"/>
              <w:spacing w:before="11"/>
              <w:jc w:val="left"/>
            </w:pPr>
          </w:p>
          <w:p w:rsidR="00FE5218" w:rsidRDefault="00FE5218" w:rsidP="00522BFF">
            <w:pPr>
              <w:pStyle w:val="TableParagraph"/>
              <w:ind w:left="648"/>
              <w:jc w:val="left"/>
            </w:pPr>
            <w:r>
              <w:t>Cholesterol</w:t>
            </w:r>
          </w:p>
        </w:tc>
        <w:tc>
          <w:tcPr>
            <w:tcW w:w="2433" w:type="dxa"/>
            <w:tcBorders>
              <w:top w:val="single" w:sz="8" w:space="0" w:color="000000"/>
              <w:left w:val="single" w:sz="8" w:space="0" w:color="000000"/>
              <w:bottom w:val="nil"/>
              <w:right w:val="single" w:sz="8" w:space="0" w:color="000000"/>
            </w:tcBorders>
            <w:hideMark/>
          </w:tcPr>
          <w:p w:rsidR="00FE5218" w:rsidRDefault="00FE5218" w:rsidP="00522BFF">
            <w:pPr>
              <w:pStyle w:val="TableParagraph"/>
              <w:spacing w:before="47"/>
              <w:ind w:left="265" w:right="270"/>
            </w:pPr>
            <w:r>
              <w:t>HDL &gt; 40</w:t>
            </w:r>
          </w:p>
        </w:tc>
        <w:tc>
          <w:tcPr>
            <w:tcW w:w="1064" w:type="dxa"/>
            <w:tcBorders>
              <w:top w:val="single" w:sz="8" w:space="0" w:color="000000"/>
              <w:left w:val="single" w:sz="8" w:space="0" w:color="000000"/>
              <w:bottom w:val="nil"/>
              <w:right w:val="single" w:sz="6" w:space="0" w:color="000000"/>
            </w:tcBorders>
            <w:hideMark/>
          </w:tcPr>
          <w:p w:rsidR="00FE5218" w:rsidRDefault="00FE5218" w:rsidP="00522BFF">
            <w:pPr>
              <w:pStyle w:val="TableParagraph"/>
              <w:spacing w:before="47"/>
              <w:ind w:left="38" w:right="36"/>
            </w:pPr>
            <w:r>
              <w:t>50</w:t>
            </w:r>
          </w:p>
        </w:tc>
      </w:tr>
      <w:tr w:rsidR="00FE5218" w:rsidRPr="002619CA" w:rsidTr="00522BFF">
        <w:trPr>
          <w:trHeight w:hRule="exact" w:val="317"/>
        </w:trPr>
        <w:tc>
          <w:tcPr>
            <w:tcW w:w="4731" w:type="dxa"/>
            <w:vMerge/>
            <w:tcBorders>
              <w:top w:val="single" w:sz="8" w:space="0" w:color="000000"/>
              <w:left w:val="single" w:sz="6" w:space="0" w:color="000000"/>
              <w:bottom w:val="single" w:sz="8" w:space="0" w:color="000000"/>
              <w:right w:val="single" w:sz="8" w:space="0" w:color="000000"/>
            </w:tcBorders>
            <w:vAlign w:val="center"/>
            <w:hideMark/>
          </w:tcPr>
          <w:p w:rsidR="00FE5218" w:rsidRDefault="00FE5218" w:rsidP="00522BFF">
            <w:pPr>
              <w:rPr>
                <w:rFonts w:ascii="Calibri" w:eastAsia="Calibri" w:hAnsi="Calibri" w:cs="Calibri"/>
                <w:sz w:val="22"/>
                <w:szCs w:val="22"/>
              </w:rPr>
            </w:pPr>
          </w:p>
        </w:tc>
        <w:tc>
          <w:tcPr>
            <w:tcW w:w="2433" w:type="dxa"/>
            <w:tcBorders>
              <w:top w:val="nil"/>
              <w:left w:val="single" w:sz="8" w:space="0" w:color="000000"/>
              <w:bottom w:val="nil"/>
              <w:right w:val="single" w:sz="8" w:space="0" w:color="000000"/>
            </w:tcBorders>
            <w:hideMark/>
          </w:tcPr>
          <w:p w:rsidR="00FE5218" w:rsidRDefault="00FE5218" w:rsidP="00522BFF">
            <w:pPr>
              <w:pStyle w:val="TableParagraph"/>
              <w:spacing w:before="24"/>
              <w:ind w:left="266" w:right="269"/>
            </w:pPr>
            <w:r>
              <w:t>LDL &lt; 130</w:t>
            </w:r>
          </w:p>
        </w:tc>
        <w:tc>
          <w:tcPr>
            <w:tcW w:w="1064" w:type="dxa"/>
            <w:tcBorders>
              <w:top w:val="nil"/>
              <w:left w:val="single" w:sz="8" w:space="0" w:color="000000"/>
              <w:bottom w:val="nil"/>
              <w:right w:val="single" w:sz="6" w:space="0" w:color="000000"/>
            </w:tcBorders>
            <w:hideMark/>
          </w:tcPr>
          <w:p w:rsidR="00FE5218" w:rsidRDefault="00FE5218" w:rsidP="00522BFF">
            <w:pPr>
              <w:pStyle w:val="TableParagraph"/>
              <w:spacing w:before="24"/>
              <w:ind w:left="38" w:right="36"/>
            </w:pPr>
            <w:r>
              <w:t>50</w:t>
            </w:r>
          </w:p>
        </w:tc>
      </w:tr>
      <w:tr w:rsidR="00FE5218" w:rsidRPr="002619CA" w:rsidTr="00522BFF">
        <w:trPr>
          <w:trHeight w:hRule="exact" w:val="273"/>
        </w:trPr>
        <w:tc>
          <w:tcPr>
            <w:tcW w:w="4731" w:type="dxa"/>
            <w:vMerge/>
            <w:tcBorders>
              <w:top w:val="single" w:sz="8" w:space="0" w:color="000000"/>
              <w:left w:val="single" w:sz="6" w:space="0" w:color="000000"/>
              <w:bottom w:val="single" w:sz="8" w:space="0" w:color="000000"/>
              <w:right w:val="single" w:sz="8" w:space="0" w:color="000000"/>
            </w:tcBorders>
            <w:vAlign w:val="center"/>
            <w:hideMark/>
          </w:tcPr>
          <w:p w:rsidR="00FE5218" w:rsidRDefault="00FE5218" w:rsidP="00522BFF">
            <w:pPr>
              <w:rPr>
                <w:rFonts w:ascii="Calibri" w:eastAsia="Calibri" w:hAnsi="Calibri" w:cs="Calibri"/>
                <w:sz w:val="22"/>
                <w:szCs w:val="22"/>
              </w:rPr>
            </w:pPr>
          </w:p>
        </w:tc>
        <w:tc>
          <w:tcPr>
            <w:tcW w:w="2433" w:type="dxa"/>
            <w:tcBorders>
              <w:top w:val="nil"/>
              <w:left w:val="single" w:sz="8" w:space="0" w:color="000000"/>
              <w:bottom w:val="single" w:sz="8" w:space="0" w:color="000000"/>
              <w:right w:val="single" w:sz="8" w:space="0" w:color="000000"/>
            </w:tcBorders>
            <w:hideMark/>
          </w:tcPr>
          <w:p w:rsidR="00FE5218" w:rsidRDefault="00FE5218" w:rsidP="00522BFF">
            <w:pPr>
              <w:pStyle w:val="TableParagraph"/>
              <w:spacing w:before="11"/>
              <w:ind w:left="265" w:right="270"/>
            </w:pPr>
            <w:r>
              <w:t>Triglycerides &lt; 150</w:t>
            </w:r>
          </w:p>
        </w:tc>
        <w:tc>
          <w:tcPr>
            <w:tcW w:w="1064" w:type="dxa"/>
            <w:tcBorders>
              <w:top w:val="nil"/>
              <w:left w:val="single" w:sz="8" w:space="0" w:color="000000"/>
              <w:bottom w:val="single" w:sz="8" w:space="0" w:color="000000"/>
              <w:right w:val="single" w:sz="6" w:space="0" w:color="000000"/>
            </w:tcBorders>
            <w:hideMark/>
          </w:tcPr>
          <w:p w:rsidR="00FE5218" w:rsidRDefault="00FE5218" w:rsidP="00522BFF">
            <w:pPr>
              <w:pStyle w:val="TableParagraph"/>
              <w:spacing w:before="11"/>
              <w:ind w:left="38" w:right="36"/>
            </w:pPr>
            <w:r>
              <w:t>75</w:t>
            </w:r>
          </w:p>
        </w:tc>
      </w:tr>
      <w:tr w:rsidR="00FE5218" w:rsidRPr="002619CA" w:rsidTr="00522BFF">
        <w:trPr>
          <w:trHeight w:hRule="exact" w:val="432"/>
        </w:trPr>
        <w:tc>
          <w:tcPr>
            <w:tcW w:w="2298" w:type="dxa"/>
            <w:tcBorders>
              <w:top w:val="single" w:sz="8" w:space="0" w:color="000000"/>
              <w:left w:val="single" w:sz="6" w:space="0" w:color="000000"/>
              <w:bottom w:val="single" w:sz="8" w:space="0" w:color="000000"/>
              <w:right w:val="single" w:sz="8" w:space="0" w:color="000000"/>
            </w:tcBorders>
            <w:hideMark/>
          </w:tcPr>
          <w:p w:rsidR="00FE5218" w:rsidRDefault="00FE5218" w:rsidP="00522BFF">
            <w:pPr>
              <w:pStyle w:val="TableParagraph"/>
              <w:spacing w:before="93"/>
              <w:ind w:left="136" w:right="144"/>
            </w:pPr>
            <w:r>
              <w:t>Fasting Glucose</w:t>
            </w:r>
          </w:p>
        </w:tc>
        <w:tc>
          <w:tcPr>
            <w:tcW w:w="2433" w:type="dxa"/>
            <w:tcBorders>
              <w:top w:val="single" w:sz="8" w:space="0" w:color="000000"/>
              <w:left w:val="single" w:sz="8" w:space="0" w:color="000000"/>
              <w:bottom w:val="single" w:sz="8" w:space="0" w:color="000000"/>
              <w:right w:val="single" w:sz="8" w:space="0" w:color="000000"/>
            </w:tcBorders>
            <w:hideMark/>
          </w:tcPr>
          <w:p w:rsidR="00FE5218" w:rsidRDefault="00FE5218" w:rsidP="00522BFF">
            <w:pPr>
              <w:pStyle w:val="TableParagraph"/>
              <w:spacing w:before="93"/>
              <w:ind w:left="266" w:right="269"/>
            </w:pPr>
            <w:r>
              <w:t>Glucose &lt; 100</w:t>
            </w:r>
          </w:p>
        </w:tc>
        <w:tc>
          <w:tcPr>
            <w:tcW w:w="1064" w:type="dxa"/>
            <w:tcBorders>
              <w:top w:val="single" w:sz="8" w:space="0" w:color="000000"/>
              <w:left w:val="single" w:sz="8" w:space="0" w:color="000000"/>
              <w:bottom w:val="single" w:sz="8" w:space="0" w:color="000000"/>
              <w:right w:val="single" w:sz="6" w:space="0" w:color="000000"/>
            </w:tcBorders>
            <w:hideMark/>
          </w:tcPr>
          <w:p w:rsidR="00FE5218" w:rsidRDefault="00FE5218" w:rsidP="00522BFF">
            <w:pPr>
              <w:pStyle w:val="TableParagraph"/>
              <w:spacing w:before="93"/>
              <w:ind w:left="38" w:right="36"/>
            </w:pPr>
            <w:r>
              <w:t>75</w:t>
            </w:r>
          </w:p>
        </w:tc>
      </w:tr>
      <w:tr w:rsidR="00FE5218" w:rsidRPr="002619CA" w:rsidTr="00522BFF">
        <w:trPr>
          <w:trHeight w:hRule="exact" w:val="409"/>
        </w:trPr>
        <w:tc>
          <w:tcPr>
            <w:tcW w:w="2298" w:type="dxa"/>
            <w:tcBorders>
              <w:top w:val="single" w:sz="8" w:space="0" w:color="000000"/>
              <w:left w:val="single" w:sz="6" w:space="0" w:color="000000"/>
              <w:bottom w:val="single" w:sz="8" w:space="0" w:color="000000"/>
              <w:right w:val="single" w:sz="8" w:space="0" w:color="000000"/>
            </w:tcBorders>
            <w:hideMark/>
          </w:tcPr>
          <w:p w:rsidR="00FE5218" w:rsidRDefault="00FE5218" w:rsidP="00522BFF">
            <w:pPr>
              <w:pStyle w:val="TableParagraph"/>
              <w:spacing w:before="172"/>
              <w:ind w:left="136" w:right="145"/>
            </w:pPr>
            <w:r>
              <w:t>Blood Pressure</w:t>
            </w:r>
          </w:p>
        </w:tc>
        <w:tc>
          <w:tcPr>
            <w:tcW w:w="2433" w:type="dxa"/>
            <w:tcBorders>
              <w:top w:val="single" w:sz="8" w:space="0" w:color="000000"/>
              <w:left w:val="single" w:sz="8" w:space="0" w:color="000000"/>
              <w:bottom w:val="single" w:sz="8" w:space="0" w:color="000000"/>
              <w:right w:val="single" w:sz="8" w:space="0" w:color="000000"/>
            </w:tcBorders>
            <w:hideMark/>
          </w:tcPr>
          <w:p w:rsidR="00FE5218" w:rsidRDefault="00FE5218" w:rsidP="00522BFF">
            <w:pPr>
              <w:pStyle w:val="TableParagraph"/>
              <w:spacing w:before="172"/>
              <w:ind w:left="266" w:right="268"/>
            </w:pPr>
            <w:r>
              <w:t>BP &lt; 140/90</w:t>
            </w:r>
          </w:p>
        </w:tc>
        <w:tc>
          <w:tcPr>
            <w:tcW w:w="1064" w:type="dxa"/>
            <w:tcBorders>
              <w:top w:val="single" w:sz="8" w:space="0" w:color="000000"/>
              <w:left w:val="single" w:sz="8" w:space="0" w:color="000000"/>
              <w:bottom w:val="single" w:sz="8" w:space="0" w:color="000000"/>
              <w:right w:val="single" w:sz="6" w:space="0" w:color="000000"/>
            </w:tcBorders>
            <w:hideMark/>
          </w:tcPr>
          <w:p w:rsidR="00FE5218" w:rsidRDefault="00FE5218" w:rsidP="00522BFF">
            <w:pPr>
              <w:pStyle w:val="TableParagraph"/>
              <w:spacing w:before="172"/>
              <w:ind w:left="38" w:right="36"/>
            </w:pPr>
            <w:r>
              <w:t>75</w:t>
            </w:r>
          </w:p>
        </w:tc>
      </w:tr>
      <w:tr w:rsidR="00FE5218" w:rsidRPr="002619CA" w:rsidTr="00522BFF">
        <w:trPr>
          <w:trHeight w:hRule="exact" w:val="1930"/>
        </w:trPr>
        <w:tc>
          <w:tcPr>
            <w:tcW w:w="2298" w:type="dxa"/>
            <w:tcBorders>
              <w:top w:val="single" w:sz="6" w:space="0" w:color="000000"/>
              <w:left w:val="single" w:sz="6" w:space="0" w:color="000000"/>
              <w:bottom w:val="single" w:sz="8" w:space="0" w:color="000000"/>
              <w:right w:val="single" w:sz="8" w:space="0" w:color="000000"/>
            </w:tcBorders>
          </w:tcPr>
          <w:p w:rsidR="00FE5218" w:rsidRDefault="00FE5218" w:rsidP="00522BFF">
            <w:pPr>
              <w:jc w:val="center"/>
              <w:rPr>
                <w:rFonts w:ascii="Calibri" w:eastAsia="Calibri" w:hAnsi="Calibri" w:cs="Calibri"/>
                <w:u w:val="single"/>
              </w:rPr>
            </w:pPr>
            <w:r>
              <w:rPr>
                <w:u w:val="single"/>
              </w:rPr>
              <w:t>Educational Programs</w:t>
            </w:r>
          </w:p>
          <w:p w:rsidR="00FE5218" w:rsidRDefault="00FE5218" w:rsidP="00522BFF"/>
          <w:p w:rsidR="00FE5218" w:rsidRDefault="00FE5218" w:rsidP="00522BFF">
            <w:r>
              <w:t>Includes: Onsite Ed</w:t>
            </w:r>
            <w:r w:rsidR="00C66B37">
              <w:t xml:space="preserve">ucational classes offered, </w:t>
            </w:r>
            <w:r>
              <w:t xml:space="preserve">Exercise Class, Onsite Disease </w:t>
            </w:r>
            <w:proofErr w:type="spellStart"/>
            <w:r>
              <w:t>Mgt</w:t>
            </w:r>
            <w:proofErr w:type="spellEnd"/>
            <w:r>
              <w:t xml:space="preserve"> Clinic participation)</w:t>
            </w:r>
          </w:p>
          <w:p w:rsidR="00FE5218" w:rsidRDefault="00FE5218" w:rsidP="00522BFF"/>
          <w:p w:rsidR="00FE5218" w:rsidRDefault="00FE5218" w:rsidP="00522BFF">
            <w:r>
              <w:t xml:space="preserve">Additional Offerings to come </w:t>
            </w:r>
          </w:p>
          <w:p w:rsidR="00FE5218" w:rsidRDefault="00FE5218" w:rsidP="00522BFF">
            <w:pPr>
              <w:widowControl w:val="0"/>
              <w:jc w:val="center"/>
              <w:rPr>
                <w:rFonts w:ascii="Calibri" w:eastAsia="Calibri" w:hAnsi="Calibri" w:cs="Calibri"/>
                <w:sz w:val="22"/>
                <w:szCs w:val="22"/>
              </w:rPr>
            </w:pPr>
          </w:p>
        </w:tc>
        <w:tc>
          <w:tcPr>
            <w:tcW w:w="2433" w:type="dxa"/>
            <w:tcBorders>
              <w:top w:val="nil"/>
              <w:left w:val="single" w:sz="8" w:space="0" w:color="000000"/>
              <w:bottom w:val="single" w:sz="8" w:space="0" w:color="000000"/>
              <w:right w:val="single" w:sz="8" w:space="0" w:color="000000"/>
            </w:tcBorders>
          </w:tcPr>
          <w:p w:rsidR="00FE5218" w:rsidRDefault="00FE5218" w:rsidP="00522BFF">
            <w:pPr>
              <w:pStyle w:val="TableParagraph"/>
              <w:spacing w:before="176"/>
              <w:ind w:right="270"/>
            </w:pPr>
          </w:p>
          <w:p w:rsidR="00FE5218" w:rsidRDefault="00FE5218" w:rsidP="00522BFF">
            <w:pPr>
              <w:pStyle w:val="TableParagraph"/>
              <w:spacing w:before="176"/>
              <w:ind w:right="270"/>
            </w:pPr>
            <w:r>
              <w:t xml:space="preserve">50 pts per class, max 2 </w:t>
            </w:r>
          </w:p>
          <w:p w:rsidR="00FE5218" w:rsidRDefault="00FE5218" w:rsidP="00522BFF">
            <w:pPr>
              <w:pStyle w:val="TableParagraph"/>
              <w:spacing w:before="176"/>
              <w:ind w:left="266" w:right="270"/>
            </w:pPr>
          </w:p>
        </w:tc>
        <w:tc>
          <w:tcPr>
            <w:tcW w:w="1064" w:type="dxa"/>
            <w:tcBorders>
              <w:top w:val="single" w:sz="6" w:space="0" w:color="000000"/>
              <w:left w:val="single" w:sz="8" w:space="0" w:color="000000"/>
              <w:bottom w:val="single" w:sz="8" w:space="0" w:color="000000"/>
              <w:right w:val="single" w:sz="6" w:space="0" w:color="000000"/>
            </w:tcBorders>
          </w:tcPr>
          <w:p w:rsidR="00FE5218" w:rsidRDefault="00FE5218" w:rsidP="00522BFF">
            <w:pPr>
              <w:jc w:val="center"/>
              <w:rPr>
                <w:rFonts w:ascii="Calibri" w:eastAsia="Calibri" w:hAnsi="Calibri" w:cs="Calibri"/>
              </w:rPr>
            </w:pPr>
          </w:p>
          <w:p w:rsidR="00FE5218" w:rsidRDefault="00FE5218" w:rsidP="00522BFF">
            <w:pPr>
              <w:jc w:val="center"/>
            </w:pPr>
          </w:p>
          <w:p w:rsidR="00FE5218" w:rsidRDefault="00FE5218" w:rsidP="00522BFF">
            <w:pPr>
              <w:widowControl w:val="0"/>
              <w:jc w:val="center"/>
              <w:rPr>
                <w:rFonts w:ascii="Calibri" w:eastAsia="Calibri" w:hAnsi="Calibri" w:cs="Calibri"/>
                <w:sz w:val="22"/>
                <w:szCs w:val="22"/>
              </w:rPr>
            </w:pPr>
            <w:r>
              <w:t>100</w:t>
            </w:r>
          </w:p>
        </w:tc>
      </w:tr>
      <w:tr w:rsidR="00FE5218" w:rsidRPr="002619CA" w:rsidTr="00522BFF">
        <w:trPr>
          <w:trHeight w:hRule="exact" w:val="349"/>
        </w:trPr>
        <w:tc>
          <w:tcPr>
            <w:tcW w:w="4731" w:type="dxa"/>
            <w:gridSpan w:val="2"/>
            <w:tcBorders>
              <w:top w:val="single" w:sz="8" w:space="0" w:color="000000"/>
              <w:left w:val="single" w:sz="6" w:space="0" w:color="000000"/>
              <w:bottom w:val="nil"/>
              <w:right w:val="single" w:sz="8" w:space="0" w:color="000000"/>
            </w:tcBorders>
            <w:shd w:val="clear" w:color="auto" w:fill="006FC0"/>
            <w:hideMark/>
          </w:tcPr>
          <w:p w:rsidR="00FE5218" w:rsidRDefault="00FE5218" w:rsidP="00522BFF">
            <w:pPr>
              <w:pStyle w:val="TableParagraph"/>
              <w:spacing w:before="55"/>
              <w:ind w:left="406"/>
              <w:jc w:val="left"/>
            </w:pPr>
            <w:r>
              <w:rPr>
                <w:color w:val="FFFFFF"/>
              </w:rPr>
              <w:t>Total Points Available per person on health plan</w:t>
            </w:r>
          </w:p>
        </w:tc>
        <w:tc>
          <w:tcPr>
            <w:tcW w:w="1064" w:type="dxa"/>
            <w:tcBorders>
              <w:top w:val="single" w:sz="8" w:space="0" w:color="000000"/>
              <w:left w:val="single" w:sz="8" w:space="0" w:color="000000"/>
              <w:bottom w:val="nil"/>
              <w:right w:val="single" w:sz="6" w:space="0" w:color="000000"/>
            </w:tcBorders>
            <w:shd w:val="clear" w:color="auto" w:fill="006FC0"/>
            <w:hideMark/>
          </w:tcPr>
          <w:p w:rsidR="00FE5218" w:rsidRDefault="00FE5218" w:rsidP="00522BFF">
            <w:pPr>
              <w:pStyle w:val="TableParagraph"/>
              <w:spacing w:before="55"/>
              <w:ind w:left="36" w:right="36"/>
            </w:pPr>
            <w:r>
              <w:rPr>
                <w:color w:val="FFFFFF"/>
              </w:rPr>
              <w:t>600</w:t>
            </w:r>
          </w:p>
        </w:tc>
      </w:tr>
    </w:tbl>
    <w:p w:rsidR="00FE5218" w:rsidRPr="002619CA" w:rsidRDefault="00FE5218" w:rsidP="00FE5218">
      <w:pPr>
        <w:jc w:val="center"/>
        <w:rPr>
          <w:rFonts w:ascii="Arial"/>
          <w:b/>
          <w:color w:val="FFFFFF"/>
          <w:w w:val="119"/>
          <w:sz w:val="28"/>
          <w:szCs w:val="28"/>
        </w:rPr>
      </w:pPr>
      <w:proofErr w:type="spellStart"/>
      <w:r w:rsidRPr="002619CA">
        <w:rPr>
          <w:rFonts w:ascii="Arial Black" w:eastAsia="Arial Black" w:hAnsi="Arial Black" w:cs="Arial Black"/>
          <w:color w:val="800080"/>
          <w:sz w:val="28"/>
          <w:szCs w:val="28"/>
        </w:rPr>
        <w:t>Health</w:t>
      </w:r>
      <w:r w:rsidRPr="002619CA">
        <w:rPr>
          <w:rFonts w:ascii="Arial Black" w:eastAsia="Arial Black" w:hAnsi="Arial Black" w:cs="Arial Black"/>
          <w:i/>
          <w:iCs/>
          <w:color w:val="33CCCC"/>
          <w:sz w:val="28"/>
          <w:szCs w:val="28"/>
        </w:rPr>
        <w:t>sync</w:t>
      </w:r>
      <w:proofErr w:type="spellEnd"/>
    </w:p>
    <w:p w:rsidR="00FE5218" w:rsidRDefault="00FE5218" w:rsidP="00FE5218">
      <w:pPr>
        <w:jc w:val="center"/>
        <w:rPr>
          <w:noProof/>
        </w:rPr>
      </w:pPr>
      <w:r>
        <w:rPr>
          <w:noProof/>
        </w:rPr>
        <w:lastRenderedPageBreak/>
        <w:drawing>
          <wp:inline distT="0" distB="0" distL="0" distR="0">
            <wp:extent cx="5846445" cy="26943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6445" cy="2694305"/>
                    </a:xfrm>
                    <a:prstGeom prst="rect">
                      <a:avLst/>
                    </a:prstGeom>
                    <a:noFill/>
                    <a:ln>
                      <a:noFill/>
                    </a:ln>
                  </pic:spPr>
                </pic:pic>
              </a:graphicData>
            </a:graphic>
          </wp:inline>
        </w:drawing>
      </w:r>
    </w:p>
    <w:p w:rsidR="00FE5218" w:rsidRDefault="00FE5218" w:rsidP="00FE5218">
      <w:pPr>
        <w:jc w:val="center"/>
        <w:rPr>
          <w:b/>
          <w:noProof/>
        </w:rPr>
      </w:pPr>
    </w:p>
    <w:p w:rsidR="00FE5218" w:rsidRDefault="00FE5218" w:rsidP="00FE5218">
      <w:pPr>
        <w:jc w:val="center"/>
        <w:rPr>
          <w:b/>
          <w:noProof/>
        </w:rPr>
      </w:pPr>
    </w:p>
    <w:p w:rsidR="00FE5218" w:rsidRDefault="00FE5218" w:rsidP="00FE5218">
      <w:pPr>
        <w:jc w:val="center"/>
      </w:pPr>
    </w:p>
    <w:p w:rsidR="00FE5218" w:rsidRPr="00FE5218" w:rsidRDefault="00FE5218" w:rsidP="00FE5218">
      <w:pPr>
        <w:rPr>
          <w:noProof/>
          <w:sz w:val="28"/>
          <w:szCs w:val="28"/>
        </w:rPr>
      </w:pPr>
      <w:r w:rsidRPr="00FE5218">
        <w:rPr>
          <w:noProof/>
          <w:sz w:val="28"/>
          <w:szCs w:val="28"/>
        </w:rPr>
        <w:t>The biometric screeni</w:t>
      </w:r>
      <w:r w:rsidR="00C66B37">
        <w:rPr>
          <w:noProof/>
          <w:sz w:val="28"/>
          <w:szCs w:val="28"/>
        </w:rPr>
        <w:t xml:space="preserve">ngs and educational programs are offered annually. (For new hires, you have 30 days from your hire date to complete the biometric screening, health risk assessment, and educational programs.) </w:t>
      </w:r>
      <w:r w:rsidRPr="00FE5218">
        <w:rPr>
          <w:noProof/>
          <w:sz w:val="28"/>
          <w:szCs w:val="28"/>
        </w:rPr>
        <w:t>Your participation and results will determine your points and where you fall on the tier (see chart on previous page). No participation in the wellness programs o</w:t>
      </w:r>
      <w:r w:rsidR="00C66B37">
        <w:rPr>
          <w:noProof/>
          <w:sz w:val="28"/>
          <w:szCs w:val="28"/>
        </w:rPr>
        <w:t>ffered will place you in Tier 4.</w:t>
      </w:r>
      <w:r w:rsidRPr="00FE5218">
        <w:rPr>
          <w:noProof/>
          <w:sz w:val="28"/>
          <w:szCs w:val="28"/>
        </w:rPr>
        <w:t xml:space="preserve"> The rate table </w:t>
      </w:r>
      <w:r w:rsidR="00C66B37">
        <w:rPr>
          <w:noProof/>
          <w:sz w:val="28"/>
          <w:szCs w:val="28"/>
        </w:rPr>
        <w:t>above</w:t>
      </w:r>
      <w:r w:rsidRPr="00FE5218">
        <w:rPr>
          <w:noProof/>
          <w:sz w:val="28"/>
          <w:szCs w:val="28"/>
        </w:rPr>
        <w:t xml:space="preserve"> will show you what the premiums will be on a bi-weekly basis.</w:t>
      </w:r>
    </w:p>
    <w:p w:rsidR="00FE5218" w:rsidRPr="00FE5218" w:rsidRDefault="00FE5218" w:rsidP="00FE5218">
      <w:pPr>
        <w:rPr>
          <w:noProof/>
          <w:sz w:val="28"/>
          <w:szCs w:val="28"/>
        </w:rPr>
      </w:pPr>
    </w:p>
    <w:p w:rsidR="00FE5218" w:rsidRPr="00FE5218" w:rsidRDefault="00FE5218" w:rsidP="00FE5218">
      <w:pPr>
        <w:rPr>
          <w:b/>
          <w:sz w:val="28"/>
          <w:szCs w:val="28"/>
        </w:rPr>
      </w:pPr>
      <w:r w:rsidRPr="00FE5218">
        <w:rPr>
          <w:noProof/>
          <w:sz w:val="28"/>
          <w:szCs w:val="28"/>
        </w:rPr>
        <w:t xml:space="preserve">If you have any questions, please contact </w:t>
      </w:r>
      <w:r w:rsidR="00C66B37">
        <w:rPr>
          <w:noProof/>
          <w:sz w:val="28"/>
          <w:szCs w:val="28"/>
        </w:rPr>
        <w:t>the HR Manager, Stacey,</w:t>
      </w:r>
      <w:r w:rsidRPr="00FE5218">
        <w:rPr>
          <w:noProof/>
          <w:sz w:val="28"/>
          <w:szCs w:val="28"/>
        </w:rPr>
        <w:t xml:space="preserve"> at ext 236. </w:t>
      </w:r>
    </w:p>
    <w:p w:rsidR="00BB13BF" w:rsidRPr="00FE5218" w:rsidRDefault="005B629E">
      <w:pPr>
        <w:rPr>
          <w:sz w:val="28"/>
          <w:szCs w:val="28"/>
        </w:rPr>
      </w:pPr>
      <w:bookmarkStart w:id="0" w:name="_GoBack"/>
      <w:bookmarkEnd w:id="0"/>
    </w:p>
    <w:sectPr w:rsidR="00BB13BF" w:rsidRPr="00FE5218" w:rsidSect="00FE52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18"/>
    <w:rsid w:val="005B629E"/>
    <w:rsid w:val="006344EC"/>
    <w:rsid w:val="008557E2"/>
    <w:rsid w:val="00AF1A1E"/>
    <w:rsid w:val="00C66B37"/>
    <w:rsid w:val="00E071BD"/>
    <w:rsid w:val="00FE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18"/>
    <w:rPr>
      <w:sz w:val="22"/>
    </w:rPr>
  </w:style>
  <w:style w:type="character" w:customStyle="1" w:styleId="BodyTextChar">
    <w:name w:val="Body Text Char"/>
    <w:basedOn w:val="DefaultParagraphFont"/>
    <w:link w:val="BodyText"/>
    <w:rsid w:val="00FE5218"/>
    <w:rPr>
      <w:rFonts w:ascii="Times New Roman" w:eastAsia="Times New Roman" w:hAnsi="Times New Roman" w:cs="Times New Roman"/>
      <w:szCs w:val="24"/>
    </w:rPr>
  </w:style>
  <w:style w:type="paragraph" w:styleId="PlainText">
    <w:name w:val="Plain Text"/>
    <w:basedOn w:val="Normal"/>
    <w:link w:val="PlainTextChar"/>
    <w:uiPriority w:val="99"/>
    <w:unhideWhenUsed/>
    <w:rsid w:val="00FE5218"/>
    <w:rPr>
      <w:rFonts w:ascii="Calibri" w:eastAsia="Calibri" w:hAnsi="Calibri"/>
      <w:sz w:val="22"/>
      <w:szCs w:val="21"/>
    </w:rPr>
  </w:style>
  <w:style w:type="character" w:customStyle="1" w:styleId="PlainTextChar">
    <w:name w:val="Plain Text Char"/>
    <w:basedOn w:val="DefaultParagraphFont"/>
    <w:link w:val="PlainText"/>
    <w:uiPriority w:val="99"/>
    <w:rsid w:val="00FE5218"/>
    <w:rPr>
      <w:rFonts w:ascii="Calibri" w:eastAsia="Calibri" w:hAnsi="Calibri" w:cs="Times New Roman"/>
      <w:szCs w:val="21"/>
    </w:rPr>
  </w:style>
  <w:style w:type="paragraph" w:customStyle="1" w:styleId="TableParagraph">
    <w:name w:val="Table Paragraph"/>
    <w:basedOn w:val="Normal"/>
    <w:uiPriority w:val="1"/>
    <w:qFormat/>
    <w:rsid w:val="00FE5218"/>
    <w:pPr>
      <w:widowControl w:val="0"/>
      <w:jc w:val="center"/>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E5218"/>
    <w:rPr>
      <w:rFonts w:ascii="Tahoma" w:hAnsi="Tahoma" w:cs="Tahoma"/>
      <w:sz w:val="16"/>
      <w:szCs w:val="16"/>
    </w:rPr>
  </w:style>
  <w:style w:type="character" w:customStyle="1" w:styleId="BalloonTextChar">
    <w:name w:val="Balloon Text Char"/>
    <w:basedOn w:val="DefaultParagraphFont"/>
    <w:link w:val="BalloonText"/>
    <w:uiPriority w:val="99"/>
    <w:semiHidden/>
    <w:rsid w:val="00FE52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18"/>
    <w:rPr>
      <w:sz w:val="22"/>
    </w:rPr>
  </w:style>
  <w:style w:type="character" w:customStyle="1" w:styleId="BodyTextChar">
    <w:name w:val="Body Text Char"/>
    <w:basedOn w:val="DefaultParagraphFont"/>
    <w:link w:val="BodyText"/>
    <w:rsid w:val="00FE5218"/>
    <w:rPr>
      <w:rFonts w:ascii="Times New Roman" w:eastAsia="Times New Roman" w:hAnsi="Times New Roman" w:cs="Times New Roman"/>
      <w:szCs w:val="24"/>
    </w:rPr>
  </w:style>
  <w:style w:type="paragraph" w:styleId="PlainText">
    <w:name w:val="Plain Text"/>
    <w:basedOn w:val="Normal"/>
    <w:link w:val="PlainTextChar"/>
    <w:uiPriority w:val="99"/>
    <w:unhideWhenUsed/>
    <w:rsid w:val="00FE5218"/>
    <w:rPr>
      <w:rFonts w:ascii="Calibri" w:eastAsia="Calibri" w:hAnsi="Calibri"/>
      <w:sz w:val="22"/>
      <w:szCs w:val="21"/>
    </w:rPr>
  </w:style>
  <w:style w:type="character" w:customStyle="1" w:styleId="PlainTextChar">
    <w:name w:val="Plain Text Char"/>
    <w:basedOn w:val="DefaultParagraphFont"/>
    <w:link w:val="PlainText"/>
    <w:uiPriority w:val="99"/>
    <w:rsid w:val="00FE5218"/>
    <w:rPr>
      <w:rFonts w:ascii="Calibri" w:eastAsia="Calibri" w:hAnsi="Calibri" w:cs="Times New Roman"/>
      <w:szCs w:val="21"/>
    </w:rPr>
  </w:style>
  <w:style w:type="paragraph" w:customStyle="1" w:styleId="TableParagraph">
    <w:name w:val="Table Paragraph"/>
    <w:basedOn w:val="Normal"/>
    <w:uiPriority w:val="1"/>
    <w:qFormat/>
    <w:rsid w:val="00FE5218"/>
    <w:pPr>
      <w:widowControl w:val="0"/>
      <w:jc w:val="center"/>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FE5218"/>
    <w:rPr>
      <w:rFonts w:ascii="Tahoma" w:hAnsi="Tahoma" w:cs="Tahoma"/>
      <w:sz w:val="16"/>
      <w:szCs w:val="16"/>
    </w:rPr>
  </w:style>
  <w:style w:type="character" w:customStyle="1" w:styleId="BalloonTextChar">
    <w:name w:val="Balloon Text Char"/>
    <w:basedOn w:val="DefaultParagraphFont"/>
    <w:link w:val="BalloonText"/>
    <w:uiPriority w:val="99"/>
    <w:semiHidden/>
    <w:rsid w:val="00FE52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7312D8C9.dotm</Template>
  <TotalTime>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Argentum IT LLC</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Murphy</dc:creator>
  <cp:lastModifiedBy>Stacey Murphy</cp:lastModifiedBy>
  <cp:revision>2</cp:revision>
  <dcterms:created xsi:type="dcterms:W3CDTF">2018-10-03T16:55:00Z</dcterms:created>
  <dcterms:modified xsi:type="dcterms:W3CDTF">2018-10-03T16:55:00Z</dcterms:modified>
</cp:coreProperties>
</file>